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Извещение №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ЦПЭ от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.08.2019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 НАЧАЛЕ ОТБОРА ИСПОЛНИТЕЛЕЙ ПУТЕМ ЗАПРОСА ЦЕНОВЫХ ПРЕДЛОЖЕНИЙ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Автономная некоммерческая организация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Краевое агентство содействия предпринимательству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объявляет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>
        <w:rPr>
          <w:rFonts w:ascii="Times New Roman" w:hAnsi="Times New Roman"/>
          <w:sz w:val="24"/>
          <w:szCs w:val="24"/>
          <w:rtl w:val="0"/>
          <w:lang w:val="en-US"/>
        </w:rPr>
        <w:t>Korea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Build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Республика Корея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мероприятие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Вашей заинтересованности просим предоставить коммерческое предложение на оказание услуг в рамках мероприятия согласно прилагаемой технической части в срок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10.00 06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хабаровскому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Автономная некоммерческая организация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Краевое агентство содействия предпринимательству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Адрес направления предложений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680000,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Хабаровск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Запарина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51,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 (4212) 34 10 44,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4"/>
          <w:szCs w:val="24"/>
          <w:u w:val="single" w:color="0563c1"/>
          <w:lang w:val="ru-RU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4"/>
          <w:szCs w:val="24"/>
          <w:u w:val="single" w:color="0563c1"/>
          <w:lang w:val="ru-RU"/>
          <w14:textFill>
            <w14:solidFill>
              <w14:srgbClr w14:val="0563C1"/>
            </w14:solidFill>
          </w14:textFill>
        </w:rPr>
        <w:instrText xml:space="preserve"> HYPERLINK "mailto:info@khabexport.com"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4"/>
          <w:szCs w:val="24"/>
          <w:u w:val="single" w:color="0563c1"/>
          <w:lang w:val="ru-RU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sz w:val="24"/>
          <w:szCs w:val="24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info@khabexport.com</w:t>
      </w:r>
      <w:r>
        <w:rPr/>
        <w:fldChar w:fldCharType="end" w:fldLock="0"/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Предполагаемый срок оказания услуг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10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Формирование цены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цена договора включает в себя стоимость оказания услуг по организации мероприятия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согласно технической части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учетом доставки результатов оказания услуг Заказчику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все налоги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сборы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другие обязательные платежи и дополнительные расходы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оплачиваемые Заказчиком Исполнителю в связи с оказанием услуг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Настоящее извещение не является извещением о проведении закупки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офертой или публичной офертой и не влечет возникновения никаких обязанностей у Заказчика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Техническое задание на организацию участия субъектов МСП Хабаровского края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Korea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Build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2019,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Пусан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Республика Корея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563c1"/>
      <w:sz w:val="24"/>
      <w:szCs w:val="24"/>
      <w:u w:val="single" w:color="0563c1"/>
      <w:lang w:val="ru-RU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